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6C" w:rsidRDefault="00592D6C">
      <w:pPr>
        <w:pStyle w:val="Textkrper"/>
        <w:spacing w:before="78"/>
        <w:ind w:left="4229" w:right="2106"/>
        <w:jc w:val="center"/>
        <w:rPr>
          <w:rFonts w:ascii="Montserrat Light" w:hAnsi="Montserrat Light"/>
          <w:color w:val="0080C8"/>
          <w:sz w:val="24"/>
        </w:rPr>
      </w:pPr>
      <w:r w:rsidRPr="00592D6C">
        <w:rPr>
          <w:rFonts w:ascii="Montserrat Light" w:hAnsi="Montserrat Light"/>
          <w:noProof/>
          <w:color w:val="0080C8"/>
          <w:sz w:val="24"/>
          <w:lang w:val="de-AT" w:eastAsia="de-AT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909004</wp:posOffset>
            </wp:positionH>
            <wp:positionV relativeFrom="paragraph">
              <wp:posOffset>-231947</wp:posOffset>
            </wp:positionV>
            <wp:extent cx="1609725" cy="388554"/>
            <wp:effectExtent l="0" t="0" r="0" b="0"/>
            <wp:wrapNone/>
            <wp:docPr id="2" name="Grafik 2" descr="https://www.esf.at/wp-content/themes/esf/images/logo-soz-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f.at/wp-content/themes/esf/images/logo-soz-20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D6C">
        <w:rPr>
          <w:rFonts w:ascii="Montserrat Light" w:hAnsi="Montserrat Light"/>
          <w:noProof/>
          <w:color w:val="0080C8"/>
          <w:sz w:val="24"/>
          <w:lang w:val="de-AT"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41590</wp:posOffset>
            </wp:positionH>
            <wp:positionV relativeFrom="paragraph">
              <wp:posOffset>-347415</wp:posOffset>
            </wp:positionV>
            <wp:extent cx="685800" cy="595478"/>
            <wp:effectExtent l="0" t="0" r="0" b="0"/>
            <wp:wrapNone/>
            <wp:docPr id="9" name="Grafik 8" descr="https://www.esf.at/wp-content/themes/esf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https://www.esf.at/wp-content/themes/esf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85"/>
                    <a:stretch/>
                  </pic:blipFill>
                  <pic:spPr bwMode="auto">
                    <a:xfrm>
                      <a:off x="0" y="0"/>
                      <a:ext cx="685800" cy="5954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D6C" w:rsidRDefault="00592D6C">
      <w:pPr>
        <w:pStyle w:val="Textkrper"/>
        <w:spacing w:before="78"/>
        <w:ind w:left="4229" w:right="2106"/>
        <w:jc w:val="center"/>
        <w:rPr>
          <w:rFonts w:ascii="Montserrat Light" w:hAnsi="Montserrat Light"/>
          <w:color w:val="0080C8"/>
          <w:sz w:val="24"/>
        </w:rPr>
      </w:pPr>
    </w:p>
    <w:p w:rsidR="00BB4D79" w:rsidRPr="00592D6C" w:rsidRDefault="00230743" w:rsidP="00592D6C">
      <w:pPr>
        <w:pStyle w:val="Textkrper"/>
        <w:spacing w:before="78"/>
        <w:ind w:right="107"/>
        <w:jc w:val="center"/>
        <w:rPr>
          <w:rFonts w:ascii="Montserrat Light" w:hAnsi="Montserrat Light"/>
          <w:color w:val="0080C8"/>
          <w:sz w:val="46"/>
        </w:rPr>
      </w:pPr>
      <w:r w:rsidRPr="00592D6C">
        <w:rPr>
          <w:rFonts w:ascii="Montserrat Light" w:hAnsi="Montserrat Light"/>
          <w:color w:val="0080C8"/>
          <w:sz w:val="46"/>
        </w:rPr>
        <w:t xml:space="preserve">Ausfüllhilfe für den Finanzplan in </w:t>
      </w:r>
      <w:r w:rsidR="00A66227" w:rsidRPr="00592D6C">
        <w:rPr>
          <w:rFonts w:ascii="Montserrat Light" w:hAnsi="Montserrat Light"/>
          <w:color w:val="0080C8"/>
          <w:sz w:val="46"/>
        </w:rPr>
        <w:t>IDEA</w:t>
      </w:r>
    </w:p>
    <w:p w:rsidR="00BB4D79" w:rsidRPr="00592D6C" w:rsidRDefault="00230743" w:rsidP="00592D6C">
      <w:pPr>
        <w:spacing w:before="22"/>
        <w:ind w:right="-35"/>
        <w:jc w:val="center"/>
        <w:rPr>
          <w:rFonts w:ascii="Montserrat Light" w:hAnsi="Montserrat Light"/>
          <w:color w:val="F7A600"/>
          <w:sz w:val="24"/>
          <w:szCs w:val="24"/>
        </w:rPr>
      </w:pPr>
      <w:r w:rsidRPr="00592D6C">
        <w:rPr>
          <w:rFonts w:ascii="Montserrat Light" w:hAnsi="Montserrat Light"/>
          <w:color w:val="F7A600"/>
          <w:w w:val="105"/>
          <w:sz w:val="24"/>
          <w:szCs w:val="24"/>
        </w:rPr>
        <w:t xml:space="preserve">bei </w:t>
      </w:r>
      <w:r w:rsidR="0069638F" w:rsidRPr="00592D6C">
        <w:rPr>
          <w:rFonts w:ascii="Montserrat Light" w:hAnsi="Montserrat Light"/>
          <w:color w:val="F7A600"/>
          <w:w w:val="105"/>
          <w:sz w:val="24"/>
          <w:szCs w:val="24"/>
        </w:rPr>
        <w:t>Bildungsberatung</w:t>
      </w:r>
    </w:p>
    <w:p w:rsidR="00BB4D79" w:rsidRPr="00592D6C" w:rsidRDefault="00BB4D79">
      <w:pPr>
        <w:pStyle w:val="Textkrper"/>
        <w:rPr>
          <w:rFonts w:ascii="Montserrat Light" w:hAnsi="Montserrat Light"/>
          <w:color w:val="F7A600"/>
          <w:sz w:val="20"/>
        </w:rPr>
      </w:pPr>
    </w:p>
    <w:p w:rsidR="00BB4D79" w:rsidRPr="00592D6C" w:rsidRDefault="00BB4D79">
      <w:pPr>
        <w:pStyle w:val="Textkrper"/>
        <w:spacing w:before="1"/>
        <w:rPr>
          <w:rFonts w:ascii="Montserrat Light" w:hAnsi="Montserrat Light"/>
          <w:sz w:val="15"/>
        </w:rPr>
      </w:pPr>
    </w:p>
    <w:p w:rsidR="00592D6C" w:rsidRPr="00592D6C" w:rsidRDefault="00592D6C">
      <w:pPr>
        <w:pStyle w:val="Textkrper"/>
        <w:spacing w:before="1"/>
        <w:rPr>
          <w:rFonts w:ascii="Montserrat Light" w:hAnsi="Montserrat Light"/>
          <w:sz w:val="15"/>
        </w:rPr>
      </w:pPr>
    </w:p>
    <w:tbl>
      <w:tblPr>
        <w:tblStyle w:val="TableNormal"/>
        <w:tblW w:w="1548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6"/>
        <w:gridCol w:w="8505"/>
        <w:gridCol w:w="2693"/>
      </w:tblGrid>
      <w:tr w:rsidR="00BB4D79" w:rsidRPr="00592D6C" w:rsidTr="00AA6345">
        <w:trPr>
          <w:trHeight w:val="411"/>
        </w:trPr>
        <w:tc>
          <w:tcPr>
            <w:tcW w:w="4286" w:type="dxa"/>
            <w:shd w:val="clear" w:color="auto" w:fill="F2F2F2" w:themeFill="background1" w:themeFillShade="F2"/>
          </w:tcPr>
          <w:p w:rsidR="00BB4D79" w:rsidRPr="00592D6C" w:rsidRDefault="00230743" w:rsidP="00592D6C">
            <w:pPr>
              <w:pStyle w:val="TableParagraph"/>
              <w:spacing w:line="278" w:lineRule="auto"/>
              <w:ind w:left="0"/>
              <w:rPr>
                <w:rFonts w:ascii="Montserrat Light" w:hAnsi="Montserrat Light"/>
                <w:b/>
                <w:w w:val="105"/>
                <w:sz w:val="20"/>
              </w:rPr>
            </w:pPr>
            <w:r w:rsidRPr="00592D6C">
              <w:rPr>
                <w:rFonts w:ascii="Montserrat Light" w:hAnsi="Montserrat Light"/>
                <w:b/>
                <w:w w:val="105"/>
                <w:sz w:val="20"/>
              </w:rPr>
              <w:t>Kostenarten (</w:t>
            </w:r>
            <w:r w:rsidR="0069638F" w:rsidRPr="00592D6C">
              <w:rPr>
                <w:rFonts w:ascii="Montserrat Light" w:hAnsi="Montserrat Light"/>
                <w:b/>
                <w:w w:val="105"/>
                <w:sz w:val="20"/>
              </w:rPr>
              <w:t>Bildungsberatung</w:t>
            </w:r>
            <w:r w:rsidRPr="00592D6C">
              <w:rPr>
                <w:rFonts w:ascii="Montserrat Light" w:hAnsi="Montserrat Light"/>
                <w:b/>
                <w:w w:val="105"/>
                <w:sz w:val="20"/>
              </w:rPr>
              <w:t>)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:rsidR="00BB4D79" w:rsidRPr="00592D6C" w:rsidRDefault="00A66227" w:rsidP="00592D6C">
            <w:pPr>
              <w:pStyle w:val="TableParagraph"/>
              <w:spacing w:line="278" w:lineRule="auto"/>
              <w:ind w:right="1037"/>
              <w:jc w:val="both"/>
              <w:rPr>
                <w:rFonts w:ascii="Montserrat Light" w:hAnsi="Montserrat Light"/>
                <w:b/>
                <w:w w:val="105"/>
                <w:sz w:val="20"/>
              </w:rPr>
            </w:pPr>
            <w:r w:rsidRPr="00592D6C">
              <w:rPr>
                <w:rFonts w:ascii="Montserrat Light" w:hAnsi="Montserrat Light"/>
                <w:b/>
                <w:w w:val="105"/>
                <w:sz w:val="20"/>
              </w:rPr>
              <w:t>Erläuterun</w:t>
            </w:r>
            <w:r w:rsidR="00230743" w:rsidRPr="00592D6C">
              <w:rPr>
                <w:rFonts w:ascii="Montserrat Light" w:hAnsi="Montserrat Light"/>
                <w:b/>
                <w:w w:val="105"/>
                <w:sz w:val="20"/>
              </w:rPr>
              <w:t>g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BB4D79" w:rsidRPr="00592D6C" w:rsidRDefault="00230743" w:rsidP="00592D6C">
            <w:pPr>
              <w:pStyle w:val="TableParagraph"/>
              <w:spacing w:line="278" w:lineRule="auto"/>
              <w:jc w:val="center"/>
              <w:rPr>
                <w:rFonts w:ascii="Montserrat Light" w:hAnsi="Montserrat Light"/>
                <w:b/>
                <w:w w:val="105"/>
                <w:sz w:val="20"/>
              </w:rPr>
            </w:pPr>
            <w:r w:rsidRPr="00592D6C">
              <w:rPr>
                <w:rFonts w:ascii="Montserrat Light" w:hAnsi="Montserrat Light"/>
                <w:b/>
                <w:w w:val="105"/>
                <w:sz w:val="20"/>
              </w:rPr>
              <w:t>Zuordnung</w:t>
            </w:r>
          </w:p>
        </w:tc>
      </w:tr>
      <w:tr w:rsidR="00BB4D79" w:rsidRPr="00592D6C" w:rsidTr="00AA6345">
        <w:trPr>
          <w:trHeight w:val="374"/>
        </w:trPr>
        <w:tc>
          <w:tcPr>
            <w:tcW w:w="4286" w:type="dxa"/>
          </w:tcPr>
          <w:p w:rsidR="00BB4D79" w:rsidRPr="001B3F3B" w:rsidRDefault="00E67765" w:rsidP="00592D6C">
            <w:pPr>
              <w:pStyle w:val="TableParagraph"/>
              <w:spacing w:line="278" w:lineRule="auto"/>
              <w:rPr>
                <w:rFonts w:ascii="Montserrat Light" w:hAnsi="Montserrat Light"/>
                <w:b/>
                <w:w w:val="105"/>
                <w:sz w:val="20"/>
              </w:rPr>
            </w:pPr>
            <w:r w:rsidRPr="001B3F3B">
              <w:rPr>
                <w:rFonts w:ascii="Montserrat Light" w:hAnsi="Montserrat Light"/>
                <w:b/>
                <w:w w:val="105"/>
                <w:sz w:val="20"/>
              </w:rPr>
              <w:t>Standardeinheitskosten</w:t>
            </w:r>
          </w:p>
        </w:tc>
        <w:tc>
          <w:tcPr>
            <w:tcW w:w="8505" w:type="dxa"/>
          </w:tcPr>
          <w:p w:rsidR="00BB4D79" w:rsidRPr="001B3F3B" w:rsidRDefault="00230743" w:rsidP="00592D6C">
            <w:pPr>
              <w:pStyle w:val="TableParagraph"/>
              <w:spacing w:line="278" w:lineRule="auto"/>
              <w:rPr>
                <w:rFonts w:ascii="Montserrat Light" w:hAnsi="Montserrat Light"/>
                <w:b/>
                <w:w w:val="105"/>
                <w:sz w:val="20"/>
              </w:rPr>
            </w:pPr>
            <w:r w:rsidRPr="001B3F3B">
              <w:rPr>
                <w:rFonts w:ascii="Montserrat Light" w:hAnsi="Montserrat Light"/>
                <w:b/>
                <w:w w:val="105"/>
                <w:sz w:val="20"/>
              </w:rPr>
              <w:t xml:space="preserve">Gesamtbetrag der </w:t>
            </w:r>
            <w:r w:rsidR="00E67765" w:rsidRPr="001B3F3B">
              <w:rPr>
                <w:rFonts w:ascii="Montserrat Light" w:hAnsi="Montserrat Light"/>
                <w:b/>
                <w:w w:val="105"/>
                <w:sz w:val="20"/>
              </w:rPr>
              <w:t>Standardeinheitskosten (i</w:t>
            </w:r>
            <w:r w:rsidRPr="001B3F3B">
              <w:rPr>
                <w:rFonts w:ascii="Montserrat Light" w:hAnsi="Montserrat Light"/>
                <w:b/>
                <w:w w:val="105"/>
                <w:sz w:val="20"/>
              </w:rPr>
              <w:t xml:space="preserve">n </w:t>
            </w:r>
            <w:r w:rsidR="00A66227" w:rsidRPr="001B3F3B">
              <w:rPr>
                <w:rFonts w:ascii="Montserrat Light" w:hAnsi="Montserrat Light"/>
                <w:b/>
                <w:w w:val="105"/>
                <w:sz w:val="20"/>
              </w:rPr>
              <w:t>IDEA</w:t>
            </w:r>
            <w:r w:rsidRPr="001B3F3B">
              <w:rPr>
                <w:rFonts w:ascii="Montserrat Light" w:hAnsi="Montserrat Light"/>
                <w:b/>
                <w:w w:val="105"/>
                <w:sz w:val="20"/>
              </w:rPr>
              <w:t xml:space="preserve"> ist pro Abrechnung </w:t>
            </w:r>
            <w:r w:rsidR="00706834" w:rsidRPr="001B3F3B">
              <w:rPr>
                <w:rFonts w:ascii="Montserrat Light" w:hAnsi="Montserrat Light"/>
                <w:b/>
                <w:w w:val="105"/>
                <w:sz w:val="20"/>
              </w:rPr>
              <w:t>grundsätzlich eine Belegzeil</w:t>
            </w:r>
            <w:r w:rsidRPr="001B3F3B">
              <w:rPr>
                <w:rFonts w:ascii="Montserrat Light" w:hAnsi="Montserrat Light"/>
                <w:b/>
                <w:w w:val="105"/>
                <w:sz w:val="20"/>
              </w:rPr>
              <w:t>e zu erstellen. Bei Abrechnungen, welche über einen Zeitraum von 12 Monaten hinausgehen, können auch zwei Belegzeilen [je eine Belegzeile pro Jahr] angelegt werden.)</w:t>
            </w:r>
          </w:p>
        </w:tc>
        <w:tc>
          <w:tcPr>
            <w:tcW w:w="2693" w:type="dxa"/>
          </w:tcPr>
          <w:p w:rsidR="00BB4D79" w:rsidRPr="001B3F3B" w:rsidRDefault="00BB4D79" w:rsidP="00592D6C">
            <w:pPr>
              <w:pStyle w:val="TableParagraph"/>
              <w:spacing w:line="278" w:lineRule="auto"/>
              <w:rPr>
                <w:rFonts w:ascii="Montserrat Light" w:hAnsi="Montserrat Light"/>
                <w:b/>
                <w:w w:val="105"/>
                <w:sz w:val="20"/>
              </w:rPr>
            </w:pPr>
          </w:p>
        </w:tc>
      </w:tr>
      <w:tr w:rsidR="00BB4D79" w:rsidRPr="00592D6C" w:rsidTr="00AA6345">
        <w:trPr>
          <w:trHeight w:val="374"/>
        </w:trPr>
        <w:tc>
          <w:tcPr>
            <w:tcW w:w="4286" w:type="dxa"/>
          </w:tcPr>
          <w:p w:rsidR="00BB4D79" w:rsidRPr="00592D6C" w:rsidRDefault="0069638F" w:rsidP="00592D6C">
            <w:pPr>
              <w:pStyle w:val="TableParagraph"/>
              <w:spacing w:line="278" w:lineRule="auto"/>
              <w:rPr>
                <w:rFonts w:ascii="Montserrat Light" w:hAnsi="Montserrat Light"/>
                <w:w w:val="105"/>
                <w:sz w:val="20"/>
              </w:rPr>
            </w:pPr>
            <w:r w:rsidRPr="00592D6C">
              <w:rPr>
                <w:rFonts w:ascii="Montserrat Light" w:hAnsi="Montserrat Light"/>
                <w:w w:val="105"/>
                <w:sz w:val="20"/>
              </w:rPr>
              <w:t>SEK10 Bildungsberatung - namentlich dokumentierte Beratungskontakte</w:t>
            </w:r>
          </w:p>
        </w:tc>
        <w:tc>
          <w:tcPr>
            <w:tcW w:w="8505" w:type="dxa"/>
          </w:tcPr>
          <w:p w:rsidR="00BB4D79" w:rsidRPr="00592D6C" w:rsidRDefault="0069638F" w:rsidP="00592D6C">
            <w:pPr>
              <w:pStyle w:val="TableParagraph"/>
              <w:spacing w:line="278" w:lineRule="auto"/>
              <w:rPr>
                <w:rFonts w:ascii="Montserrat Light" w:hAnsi="Montserrat Light"/>
                <w:w w:val="105"/>
                <w:sz w:val="20"/>
              </w:rPr>
            </w:pPr>
            <w:r w:rsidRPr="00592D6C">
              <w:rPr>
                <w:rFonts w:ascii="Montserrat Light" w:hAnsi="Montserrat Light"/>
                <w:w w:val="105"/>
                <w:sz w:val="20"/>
              </w:rPr>
              <w:t xml:space="preserve">Dieser Kostensatz kommt pro namentlicher dokumentierter Beratungsleistung zur Anwendung. </w:t>
            </w:r>
          </w:p>
        </w:tc>
        <w:tc>
          <w:tcPr>
            <w:tcW w:w="2693" w:type="dxa"/>
          </w:tcPr>
          <w:p w:rsidR="00BB4D79" w:rsidRPr="00592D6C" w:rsidRDefault="000246AA" w:rsidP="00592D6C">
            <w:pPr>
              <w:pStyle w:val="TableParagraph"/>
              <w:rPr>
                <w:rFonts w:ascii="Montserrat Light" w:hAnsi="Montserrat Light"/>
                <w:w w:val="105"/>
                <w:sz w:val="20"/>
              </w:rPr>
            </w:pPr>
            <w:r w:rsidRPr="00592D6C">
              <w:rPr>
                <w:rFonts w:ascii="Montserrat Light" w:hAnsi="Montserrat Light"/>
                <w:w w:val="105"/>
                <w:sz w:val="20"/>
              </w:rPr>
              <w:t>Standardeinheitskosten</w:t>
            </w:r>
          </w:p>
        </w:tc>
      </w:tr>
    </w:tbl>
    <w:p w:rsidR="00391663" w:rsidRPr="00592D6C" w:rsidRDefault="00391663">
      <w:pPr>
        <w:rPr>
          <w:rFonts w:ascii="Montserrat Light" w:hAnsi="Montserrat Light"/>
        </w:rPr>
      </w:pPr>
      <w:bookmarkStart w:id="0" w:name="_GoBack"/>
      <w:bookmarkEnd w:id="0"/>
    </w:p>
    <w:sectPr w:rsidR="00391663" w:rsidRPr="00592D6C" w:rsidSect="00AA6345">
      <w:type w:val="continuous"/>
      <w:pgSz w:w="16840" w:h="11910" w:orient="landscape"/>
      <w:pgMar w:top="920" w:right="1040" w:bottom="9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Light">
    <w:altName w:val="Arial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3D04"/>
    <w:multiLevelType w:val="hybridMultilevel"/>
    <w:tmpl w:val="0FAA7398"/>
    <w:lvl w:ilvl="0" w:tplc="F70E766C">
      <w:start w:val="1"/>
      <w:numFmt w:val="lowerLetter"/>
      <w:lvlText w:val="%1)"/>
      <w:lvlJc w:val="left"/>
      <w:pPr>
        <w:ind w:left="116" w:hanging="96"/>
        <w:jc w:val="left"/>
      </w:pPr>
      <w:rPr>
        <w:rFonts w:ascii="Carlito" w:eastAsia="Carlito" w:hAnsi="Carlito" w:cs="Carlito" w:hint="default"/>
        <w:spacing w:val="-1"/>
        <w:w w:val="106"/>
        <w:sz w:val="9"/>
        <w:szCs w:val="9"/>
        <w:lang w:val="de-DE" w:eastAsia="en-US" w:bidi="ar-SA"/>
      </w:rPr>
    </w:lvl>
    <w:lvl w:ilvl="1" w:tplc="94FE5434">
      <w:numFmt w:val="bullet"/>
      <w:lvlText w:val="•"/>
      <w:lvlJc w:val="left"/>
      <w:pPr>
        <w:ind w:left="718" w:hanging="96"/>
      </w:pPr>
      <w:rPr>
        <w:rFonts w:hint="default"/>
        <w:lang w:val="de-DE" w:eastAsia="en-US" w:bidi="ar-SA"/>
      </w:rPr>
    </w:lvl>
    <w:lvl w:ilvl="2" w:tplc="C61EF8B0">
      <w:numFmt w:val="bullet"/>
      <w:lvlText w:val="•"/>
      <w:lvlJc w:val="left"/>
      <w:pPr>
        <w:ind w:left="1317" w:hanging="96"/>
      </w:pPr>
      <w:rPr>
        <w:rFonts w:hint="default"/>
        <w:lang w:val="de-DE" w:eastAsia="en-US" w:bidi="ar-SA"/>
      </w:rPr>
    </w:lvl>
    <w:lvl w:ilvl="3" w:tplc="240C45C2">
      <w:numFmt w:val="bullet"/>
      <w:lvlText w:val="•"/>
      <w:lvlJc w:val="left"/>
      <w:pPr>
        <w:ind w:left="1915" w:hanging="96"/>
      </w:pPr>
      <w:rPr>
        <w:rFonts w:hint="default"/>
        <w:lang w:val="de-DE" w:eastAsia="en-US" w:bidi="ar-SA"/>
      </w:rPr>
    </w:lvl>
    <w:lvl w:ilvl="4" w:tplc="9DD8E2BA">
      <w:numFmt w:val="bullet"/>
      <w:lvlText w:val="•"/>
      <w:lvlJc w:val="left"/>
      <w:pPr>
        <w:ind w:left="2514" w:hanging="96"/>
      </w:pPr>
      <w:rPr>
        <w:rFonts w:hint="default"/>
        <w:lang w:val="de-DE" w:eastAsia="en-US" w:bidi="ar-SA"/>
      </w:rPr>
    </w:lvl>
    <w:lvl w:ilvl="5" w:tplc="77661930">
      <w:numFmt w:val="bullet"/>
      <w:lvlText w:val="•"/>
      <w:lvlJc w:val="left"/>
      <w:pPr>
        <w:ind w:left="3112" w:hanging="96"/>
      </w:pPr>
      <w:rPr>
        <w:rFonts w:hint="default"/>
        <w:lang w:val="de-DE" w:eastAsia="en-US" w:bidi="ar-SA"/>
      </w:rPr>
    </w:lvl>
    <w:lvl w:ilvl="6" w:tplc="A1E68BBA">
      <w:numFmt w:val="bullet"/>
      <w:lvlText w:val="•"/>
      <w:lvlJc w:val="left"/>
      <w:pPr>
        <w:ind w:left="3711" w:hanging="96"/>
      </w:pPr>
      <w:rPr>
        <w:rFonts w:hint="default"/>
        <w:lang w:val="de-DE" w:eastAsia="en-US" w:bidi="ar-SA"/>
      </w:rPr>
    </w:lvl>
    <w:lvl w:ilvl="7" w:tplc="D5768C0C">
      <w:numFmt w:val="bullet"/>
      <w:lvlText w:val="•"/>
      <w:lvlJc w:val="left"/>
      <w:pPr>
        <w:ind w:left="4309" w:hanging="96"/>
      </w:pPr>
      <w:rPr>
        <w:rFonts w:hint="default"/>
        <w:lang w:val="de-DE" w:eastAsia="en-US" w:bidi="ar-SA"/>
      </w:rPr>
    </w:lvl>
    <w:lvl w:ilvl="8" w:tplc="3CFE2A06">
      <w:numFmt w:val="bullet"/>
      <w:lvlText w:val="•"/>
      <w:lvlJc w:val="left"/>
      <w:pPr>
        <w:ind w:left="4908" w:hanging="96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B4D79"/>
    <w:rsid w:val="000246AA"/>
    <w:rsid w:val="001B3F3B"/>
    <w:rsid w:val="00230743"/>
    <w:rsid w:val="003746E5"/>
    <w:rsid w:val="00391663"/>
    <w:rsid w:val="00592D6C"/>
    <w:rsid w:val="00620893"/>
    <w:rsid w:val="0069638F"/>
    <w:rsid w:val="00706834"/>
    <w:rsid w:val="00714EB4"/>
    <w:rsid w:val="009F0D6B"/>
    <w:rsid w:val="00A66227"/>
    <w:rsid w:val="00AA6345"/>
    <w:rsid w:val="00BB4D79"/>
    <w:rsid w:val="00E6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8F450-CC11-4840-A0A2-66047625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rlito" w:eastAsia="Carlito" w:hAnsi="Carlito" w:cs="Carli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 Black" w:eastAsia="Arial Black" w:hAnsi="Arial Black" w:cs="Arial Black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0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Bundesrechenzentrum GmbH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Gradwohl</dc:creator>
  <cp:lastModifiedBy>Breitenfelder Julia</cp:lastModifiedBy>
  <cp:revision>10</cp:revision>
  <dcterms:created xsi:type="dcterms:W3CDTF">2022-11-22T08:14:00Z</dcterms:created>
  <dcterms:modified xsi:type="dcterms:W3CDTF">2023-01-03T14:33:00Z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2022-11-22T00:00:00Z</vt:filetime>
  </property>
</Properties>
</file>